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PCS-673         Pakhtun Nationalism and Pakhtun Islamization Pak-Afghan Region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Hours 03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Description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war against terrorism has had a definitive impact on Pakhtun regions in Afghanistan and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Pakistan. In recent history the area was used as base from which Islamist militants attacked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soviet forces. Pakhtun society has tended to oscillate between these competing poles of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nationalism and Islamization during the last many decades.  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Learning Objectives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course enables its students to gain a critical understanding of the oscillations in the Af-Pak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region viz a vizPakhtun Islamization and Nationalism. It explores issues of identity, nationalism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ethno centrism within Pakthuns across the region.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Course Contents 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Introduction to Pakhtun nationalism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Introduction to Pakhtun identity and peace movements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Pakhtun nationalism, identity and peace movements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The Soviet war and its impacts on the Pakhtun belt.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Current crisis affecting the Af-Pak region.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Impact of the WAT on the Pakhtun belt. 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Required Readings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Banerjee, Mukulika. 2000. The Pathan Unarmed: Opposition &amp; Memory in the North West Frontier. Oxford University Press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Khan, Abdul Ghaffar. 1969. My Life and Struggle, Hind Pocket Books: Delhi.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ShaheenBuneri. 2013. Taliban Militancy: Replacing a culture of Peace, Tigah 2. FATA research Center. 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Khan, I., 2007, ‘Pashtuns in the crossfire: Pashtun politics in the shadow of “War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againstTerrorism”’, Pakistan Security Research Unit, Brief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www.spaces.brad.ac.uk:8080/download/attachments/748/Brief+19+REFCHAI.pdf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